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16D52" w14:textId="77777777" w:rsidR="00535C2E" w:rsidRDefault="00043365" w:rsidP="00937B6C">
      <w:r>
        <w:rPr>
          <w:noProof/>
        </w:rPr>
        <w:drawing>
          <wp:inline distT="0" distB="0" distL="0" distR="0" wp14:anchorId="310B536D" wp14:editId="1A8C3C70">
            <wp:extent cx="2192421" cy="2082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_LogoFINAL_lowr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5318" cy="209505"/>
                    </a:xfrm>
                    <a:prstGeom prst="rect">
                      <a:avLst/>
                    </a:prstGeom>
                  </pic:spPr>
                </pic:pic>
              </a:graphicData>
            </a:graphic>
          </wp:inline>
        </w:drawing>
      </w:r>
    </w:p>
    <w:p w14:paraId="056B912C" w14:textId="77777777" w:rsidR="00043365" w:rsidRDefault="00043365" w:rsidP="00937B6C">
      <w:pPr>
        <w:rPr>
          <w:rFonts w:ascii="Arial" w:hAnsi="Arial" w:cs="Arial"/>
          <w:b/>
          <w:color w:val="7F7F7F" w:themeColor="text1" w:themeTint="80"/>
          <w:sz w:val="36"/>
          <w:szCs w:val="36"/>
        </w:rPr>
      </w:pPr>
      <w:r w:rsidRPr="00043365">
        <w:rPr>
          <w:rFonts w:ascii="Arial" w:hAnsi="Arial" w:cs="Arial"/>
          <w:b/>
          <w:color w:val="7F7F7F" w:themeColor="text1" w:themeTint="80"/>
          <w:sz w:val="36"/>
          <w:szCs w:val="36"/>
        </w:rPr>
        <w:t>The California Oil and Gas Report</w:t>
      </w:r>
    </w:p>
    <w:p w14:paraId="7C31E6FA" w14:textId="77777777" w:rsidR="00937B6C" w:rsidRDefault="00937B6C" w:rsidP="00937B6C">
      <w:pPr>
        <w:pStyle w:val="Heading1"/>
      </w:pPr>
      <w:bookmarkStart w:id="0" w:name="_GoBack"/>
      <w:r>
        <w:t>Fracking and Allocation of Risk</w:t>
      </w:r>
    </w:p>
    <w:bookmarkEnd w:id="0"/>
    <w:p w14:paraId="21770A45" w14:textId="77777777" w:rsidR="00937B6C" w:rsidRDefault="00937B6C" w:rsidP="00937B6C">
      <w:r>
        <w:rPr>
          <w:rStyle w:val="sep"/>
        </w:rPr>
        <w:t xml:space="preserve">Posted on </w:t>
      </w:r>
      <w:hyperlink r:id="rId6" w:tooltip="2:42 am" w:history="1">
        <w:r>
          <w:rPr>
            <w:color w:val="888888"/>
            <w:u w:val="single"/>
          </w:rPr>
          <w:t>May 13, 2013</w:t>
        </w:r>
      </w:hyperlink>
      <w:r>
        <w:rPr>
          <w:rStyle w:val="by-author"/>
        </w:rPr>
        <w:t xml:space="preserve"> </w:t>
      </w:r>
      <w:r>
        <w:rPr>
          <w:rStyle w:val="sep"/>
        </w:rPr>
        <w:t xml:space="preserve">by </w:t>
      </w:r>
      <w:hyperlink r:id="rId7" w:tooltip="View all posts by Editor" w:history="1">
        <w:r>
          <w:rPr>
            <w:rStyle w:val="author"/>
            <w:color w:val="888888"/>
            <w:u w:val="single"/>
          </w:rPr>
          <w:t>Editor</w:t>
        </w:r>
      </w:hyperlink>
      <w:r>
        <w:t xml:space="preserve"> </w:t>
      </w:r>
    </w:p>
    <w:p w14:paraId="6ED1BFDF" w14:textId="77777777" w:rsidR="00937B6C" w:rsidRDefault="00937B6C" w:rsidP="00937B6C">
      <w:pPr>
        <w:pStyle w:val="Heading4"/>
      </w:pPr>
      <w:r>
        <w:t>By Dennis R. Luna and Michael Newman</w:t>
      </w:r>
    </w:p>
    <w:p w14:paraId="7FBAC0CC" w14:textId="77777777" w:rsidR="00937B6C" w:rsidRDefault="00937B6C" w:rsidP="00937B6C">
      <w:pPr>
        <w:pStyle w:val="Heading5"/>
      </w:pPr>
      <w:r>
        <w:rPr>
          <w:sz w:val="27"/>
          <w:szCs w:val="27"/>
        </w:rPr>
        <w:t>Part 3 of a 4-part series</w:t>
      </w:r>
    </w:p>
    <w:p w14:paraId="3A835CCD" w14:textId="77777777" w:rsidR="00937B6C" w:rsidRDefault="00937B6C" w:rsidP="00937B6C">
      <w:pPr>
        <w:pStyle w:val="NormalWeb"/>
      </w:pPr>
      <w:r>
        <w:t>Numerous parties are involved in the drilling and completion of a shale gas well. First and foremost, there is the owner/operator of the site. The operator will have others working at the site, including contractors building out infrastructure, such as roads, pads, and ponds, and drilling contractors who supply the rig and crew to drill the well.</w:t>
      </w:r>
    </w:p>
    <w:p w14:paraId="5C8C06B4" w14:textId="77777777" w:rsidR="00937B6C" w:rsidRDefault="00937B6C" w:rsidP="00937B6C">
      <w:pPr>
        <w:pStyle w:val="NormalWeb"/>
      </w:pPr>
      <w:r>
        <w:t xml:space="preserve">There likely will also be </w:t>
      </w:r>
      <w:proofErr w:type="spellStart"/>
      <w:r>
        <w:t>wireline</w:t>
      </w:r>
      <w:proofErr w:type="spellEnd"/>
      <w:r>
        <w:t xml:space="preserve"> operators and equipment suppliers. Fracking operators provide the chemicals, blend the fluid, and supply the pumps to frack the wells. Another contractor may drill water wells on the site.</w:t>
      </w:r>
    </w:p>
    <w:p w14:paraId="02EA0641" w14:textId="77777777" w:rsidR="00937B6C" w:rsidRDefault="00937B6C" w:rsidP="00937B6C">
      <w:pPr>
        <w:pStyle w:val="NormalWeb"/>
      </w:pPr>
      <w:r>
        <w:t>In addition to the operator and contractors, “</w:t>
      </w:r>
      <w:proofErr w:type="spellStart"/>
      <w:r>
        <w:t>nonoperating</w:t>
      </w:r>
      <w:proofErr w:type="spellEnd"/>
      <w:r>
        <w:t>” owners who own a portion of the well through a “joint operating agreement” may be involved in the site.</w:t>
      </w:r>
    </w:p>
    <w:p w14:paraId="66FE9D70" w14:textId="77777777" w:rsidR="00937B6C" w:rsidRDefault="00937B6C" w:rsidP="00937B6C">
      <w:pPr>
        <w:pStyle w:val="NormalWeb"/>
      </w:pPr>
      <w:r>
        <w:t xml:space="preserve">So, how is risk allocated among all of these entities? Every agreement and arrangement is unique, but the on-shore exploration and production industry is relatively uniform in how the risks are allocated. </w:t>
      </w:r>
    </w:p>
    <w:p w14:paraId="50EAC9E0" w14:textId="77777777" w:rsidR="00937B6C" w:rsidRDefault="00937B6C" w:rsidP="00937B6C">
      <w:pPr>
        <w:pStyle w:val="NormalWeb"/>
      </w:pPr>
      <w:r>
        <w:t>Based on many years of contracting history, most of the parties are familiar with how risks are apportioned. Operating agreements generally allocate the risk to the operator and the “</w:t>
      </w:r>
      <w:proofErr w:type="spellStart"/>
      <w:r>
        <w:t>nonoperating</w:t>
      </w:r>
      <w:proofErr w:type="spellEnd"/>
      <w:r>
        <w:t>” ownership in accordance with their ownership interest.</w:t>
      </w:r>
    </w:p>
    <w:p w14:paraId="5A4F6E57" w14:textId="77777777" w:rsidR="00937B6C" w:rsidRDefault="00937B6C" w:rsidP="00937B6C">
      <w:pPr>
        <w:pStyle w:val="NormalWeb"/>
      </w:pPr>
      <w:r>
        <w:t>Contractors on the site generally are responsible for their workers and their equipment regardless of fault. Under this form of contract, referred to as “knock for knock,” each party indemnifies the other for damage to their personnel and their property. Each party thus insures only the risks associated with their personnel and equipment. They don’t have insure the personnel or property of others in the event that their acts lead to damage to the others.</w:t>
      </w:r>
    </w:p>
    <w:p w14:paraId="3448E2E3" w14:textId="77777777" w:rsidR="00937B6C" w:rsidRDefault="00937B6C" w:rsidP="00937B6C">
      <w:pPr>
        <w:pStyle w:val="NormalWeb"/>
      </w:pPr>
      <w:r>
        <w:t xml:space="preserve">In addition, contractors generally will not be responsible for </w:t>
      </w:r>
      <w:proofErr w:type="spellStart"/>
      <w:r>
        <w:t>downhole</w:t>
      </w:r>
      <w:proofErr w:type="spellEnd"/>
      <w:r>
        <w:t xml:space="preserve"> or “resource” damages. For instance, the owner/operator cannot hold the driller responsible for failure to recover gas by alleging that the fracturing or drilling resulted in damage to the formation, making recovery impossible.</w:t>
      </w:r>
    </w:p>
    <w:p w14:paraId="6B34EBCA" w14:textId="77777777" w:rsidR="00937B6C" w:rsidRDefault="00937B6C" w:rsidP="00937B6C">
      <w:pPr>
        <w:pStyle w:val="NormalWeb"/>
      </w:pPr>
      <w:r>
        <w:t>There are several different types of contracts used for drillers, including day rates, footage rates, or turnkey. Turn-key contracts are the only contracts where the drillers accept liabilities from the operations.</w:t>
      </w:r>
    </w:p>
    <w:p w14:paraId="68468F9A" w14:textId="77777777" w:rsidR="00937B6C" w:rsidRDefault="00937B6C" w:rsidP="00937B6C">
      <w:pPr>
        <w:pStyle w:val="NormalWeb"/>
      </w:pPr>
      <w:r>
        <w:t>However, the majority of the drilling contracts are written as day rate or footage contracts. Under these contracts, the operator essentially assumes control of the drilling rig (i.e., they are instructing the driller.) The operator assumes the risk and provides the liability and “control of well” insurances for the site.</w:t>
      </w:r>
    </w:p>
    <w:p w14:paraId="76000472" w14:textId="77777777" w:rsidR="00937B6C" w:rsidRDefault="00937B6C" w:rsidP="00937B6C">
      <w:pPr>
        <w:pStyle w:val="NormalWeb"/>
      </w:pPr>
      <w:r>
        <w:t xml:space="preserve">The driller will be responsible for certain insurances for their equipment and, of course, workers compensation for their employees. Some larger drillers may also choose to purchase their own “control of well” programs </w:t>
      </w:r>
      <w:r>
        <w:lastRenderedPageBreak/>
        <w:t>(discussed below) in the event that they are working for smaller operators. But, generally speaking, the owner/operator assumes liability for operations at a fracking site.</w:t>
      </w:r>
    </w:p>
    <w:p w14:paraId="79B79321" w14:textId="77777777" w:rsidR="00937B6C" w:rsidRDefault="00937B6C" w:rsidP="00937B6C">
      <w:pPr>
        <w:pStyle w:val="NormalWeb"/>
      </w:pPr>
      <w:r>
        <w:rPr>
          <w:rStyle w:val="Emphasis"/>
        </w:rPr>
        <w:t>Dennis R. Luna, Esq., is the Editor In Chief of the California Oil and Gas Report and Managing Partner of Luna &amp; Glushon. He is considered one of the top energy and real estate attorneys in California. Dennis is a graduate of Harvard Law School and a licensed Professional Engineer. He holds a Master of Science in Petroleum Engineering from the School of Petroleum Engineering at the University of Southern California, where he also earned a Bachelor of Science in Petroleum Engineering and a Master of Business Administration.</w:t>
      </w:r>
    </w:p>
    <w:p w14:paraId="129453CD" w14:textId="77777777" w:rsidR="00937B6C" w:rsidRDefault="00937B6C" w:rsidP="00937B6C">
      <w:pPr>
        <w:pStyle w:val="NormalWeb"/>
      </w:pPr>
      <w:r>
        <w:rPr>
          <w:rStyle w:val="Emphasis"/>
        </w:rPr>
        <w:t xml:space="preserve">Michael Newman, the President of </w:t>
      </w:r>
      <w:hyperlink r:id="rId8" w:history="1">
        <w:r>
          <w:rPr>
            <w:rStyle w:val="Hyperlink"/>
            <w:i/>
            <w:iCs/>
          </w:rPr>
          <w:t>International Energy Insurance Brokers</w:t>
        </w:r>
      </w:hyperlink>
      <w:r>
        <w:rPr>
          <w:rStyle w:val="Emphasis"/>
        </w:rPr>
        <w:t xml:space="preserve">, has specialized in providing insurance services to the oil and gas industry for almost 30 years. Mr. Newman has a Law degree from the University </w:t>
      </w:r>
      <w:proofErr w:type="gramStart"/>
      <w:r>
        <w:rPr>
          <w:rStyle w:val="Emphasis"/>
        </w:rPr>
        <w:t>of</w:t>
      </w:r>
      <w:proofErr w:type="gramEnd"/>
      <w:r>
        <w:rPr>
          <w:rStyle w:val="Emphasis"/>
        </w:rPr>
        <w:t xml:space="preserve"> Cambridge (UK) and an MBA from the USC Marshall School of Business.</w:t>
      </w:r>
    </w:p>
    <w:p w14:paraId="5F5FA5E2" w14:textId="77777777" w:rsidR="00043365" w:rsidRDefault="00043365">
      <w:pPr>
        <w:rPr>
          <w:rFonts w:cs="Times New Roman"/>
          <w:b/>
          <w:color w:val="7F7F7F" w:themeColor="text1" w:themeTint="80"/>
          <w:szCs w:val="24"/>
        </w:rPr>
      </w:pPr>
    </w:p>
    <w:p w14:paraId="736BCB08" w14:textId="77777777" w:rsidR="00043365" w:rsidRDefault="00043365">
      <w:pPr>
        <w:rPr>
          <w:rFonts w:cs="Times New Roman"/>
          <w:b/>
          <w:color w:val="7F7F7F" w:themeColor="text1" w:themeTint="80"/>
          <w:szCs w:val="24"/>
        </w:rPr>
      </w:pPr>
    </w:p>
    <w:p w14:paraId="0958DC62" w14:textId="77777777" w:rsidR="00043365" w:rsidRPr="00043365" w:rsidRDefault="00043365">
      <w:pPr>
        <w:rPr>
          <w:rFonts w:cs="Times New Roman"/>
          <w:b/>
          <w:color w:val="7F7F7F" w:themeColor="text1" w:themeTint="80"/>
          <w:szCs w:val="24"/>
        </w:rPr>
      </w:pPr>
    </w:p>
    <w:sectPr w:rsidR="00043365" w:rsidRPr="00043365" w:rsidSect="000433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365"/>
    <w:rsid w:val="00043365"/>
    <w:rsid w:val="002420DA"/>
    <w:rsid w:val="002C26E0"/>
    <w:rsid w:val="0036279A"/>
    <w:rsid w:val="003941E0"/>
    <w:rsid w:val="00502135"/>
    <w:rsid w:val="00535C2E"/>
    <w:rsid w:val="006853AE"/>
    <w:rsid w:val="006A1F53"/>
    <w:rsid w:val="00937B6C"/>
    <w:rsid w:val="00B40EE0"/>
    <w:rsid w:val="00E824B1"/>
    <w:rsid w:val="00F5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9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D2E"/>
    <w:rPr>
      <w:rFonts w:ascii="Times New Roman" w:hAnsi="Times New Roman"/>
      <w:sz w:val="24"/>
    </w:rPr>
  </w:style>
  <w:style w:type="paragraph" w:styleId="Heading1">
    <w:name w:val="heading 1"/>
    <w:basedOn w:val="Normal"/>
    <w:link w:val="Heading1Char"/>
    <w:uiPriority w:val="9"/>
    <w:qFormat/>
    <w:rsid w:val="006A1F53"/>
    <w:pPr>
      <w:spacing w:before="100" w:beforeAutospacing="1" w:after="100" w:afterAutospacing="1" w:line="240" w:lineRule="auto"/>
      <w:outlineLvl w:val="0"/>
    </w:pPr>
    <w:rPr>
      <w:rFonts w:eastAsia="Times New Roman" w:cs="Times New Roman"/>
      <w:b/>
      <w:bCs/>
      <w:kern w:val="36"/>
      <w:sz w:val="48"/>
      <w:szCs w:val="48"/>
    </w:rPr>
  </w:style>
  <w:style w:type="paragraph" w:styleId="Heading4">
    <w:name w:val="heading 4"/>
    <w:basedOn w:val="Normal"/>
    <w:link w:val="Heading4Char"/>
    <w:uiPriority w:val="9"/>
    <w:qFormat/>
    <w:rsid w:val="006A1F53"/>
    <w:pPr>
      <w:spacing w:before="100" w:beforeAutospacing="1" w:after="100" w:afterAutospacing="1" w:line="240" w:lineRule="auto"/>
      <w:outlineLvl w:val="3"/>
    </w:pPr>
    <w:rPr>
      <w:rFonts w:eastAsia="Times New Roman" w:cs="Times New Roman"/>
      <w:b/>
      <w:bCs/>
      <w:szCs w:val="24"/>
    </w:rPr>
  </w:style>
  <w:style w:type="paragraph" w:styleId="Heading5">
    <w:name w:val="heading 5"/>
    <w:basedOn w:val="Normal"/>
    <w:next w:val="Normal"/>
    <w:link w:val="Heading5Char"/>
    <w:uiPriority w:val="9"/>
    <w:semiHidden/>
    <w:unhideWhenUsed/>
    <w:qFormat/>
    <w:rsid w:val="002420D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4B1"/>
    <w:pPr>
      <w:spacing w:after="120" w:line="240" w:lineRule="auto"/>
      <w:ind w:left="720"/>
    </w:pPr>
  </w:style>
  <w:style w:type="paragraph" w:styleId="BalloonText">
    <w:name w:val="Balloon Text"/>
    <w:basedOn w:val="Normal"/>
    <w:link w:val="BalloonTextChar"/>
    <w:uiPriority w:val="99"/>
    <w:semiHidden/>
    <w:unhideWhenUsed/>
    <w:rsid w:val="00043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365"/>
    <w:rPr>
      <w:rFonts w:ascii="Tahoma" w:hAnsi="Tahoma" w:cs="Tahoma"/>
      <w:sz w:val="16"/>
      <w:szCs w:val="16"/>
    </w:rPr>
  </w:style>
  <w:style w:type="character" w:customStyle="1" w:styleId="Heading1Char">
    <w:name w:val="Heading 1 Char"/>
    <w:basedOn w:val="DefaultParagraphFont"/>
    <w:link w:val="Heading1"/>
    <w:uiPriority w:val="9"/>
    <w:rsid w:val="006A1F53"/>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6A1F53"/>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A1F53"/>
    <w:rPr>
      <w:color w:val="0000FF"/>
      <w:u w:val="single"/>
    </w:rPr>
  </w:style>
  <w:style w:type="paragraph" w:styleId="NormalWeb">
    <w:name w:val="Normal (Web)"/>
    <w:basedOn w:val="Normal"/>
    <w:uiPriority w:val="99"/>
    <w:semiHidden/>
    <w:unhideWhenUsed/>
    <w:rsid w:val="006A1F53"/>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6A1F53"/>
    <w:rPr>
      <w:i/>
      <w:iCs/>
    </w:rPr>
  </w:style>
  <w:style w:type="character" w:customStyle="1" w:styleId="Heading5Char">
    <w:name w:val="Heading 5 Char"/>
    <w:basedOn w:val="DefaultParagraphFont"/>
    <w:link w:val="Heading5"/>
    <w:uiPriority w:val="9"/>
    <w:semiHidden/>
    <w:rsid w:val="002420DA"/>
    <w:rPr>
      <w:rFonts w:asciiTheme="majorHAnsi" w:eastAsiaTheme="majorEastAsia" w:hAnsiTheme="majorHAnsi" w:cstheme="majorBidi"/>
      <w:color w:val="243F60" w:themeColor="accent1" w:themeShade="7F"/>
      <w:sz w:val="24"/>
    </w:rPr>
  </w:style>
  <w:style w:type="character" w:customStyle="1" w:styleId="sep">
    <w:name w:val="sep"/>
    <w:basedOn w:val="DefaultParagraphFont"/>
    <w:rsid w:val="00937B6C"/>
  </w:style>
  <w:style w:type="character" w:customStyle="1" w:styleId="by-author">
    <w:name w:val="by-author"/>
    <w:basedOn w:val="DefaultParagraphFont"/>
    <w:rsid w:val="00937B6C"/>
  </w:style>
  <w:style w:type="character" w:customStyle="1" w:styleId="author">
    <w:name w:val="author"/>
    <w:basedOn w:val="DefaultParagraphFont"/>
    <w:rsid w:val="00937B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D2E"/>
    <w:rPr>
      <w:rFonts w:ascii="Times New Roman" w:hAnsi="Times New Roman"/>
      <w:sz w:val="24"/>
    </w:rPr>
  </w:style>
  <w:style w:type="paragraph" w:styleId="Heading1">
    <w:name w:val="heading 1"/>
    <w:basedOn w:val="Normal"/>
    <w:link w:val="Heading1Char"/>
    <w:uiPriority w:val="9"/>
    <w:qFormat/>
    <w:rsid w:val="006A1F53"/>
    <w:pPr>
      <w:spacing w:before="100" w:beforeAutospacing="1" w:after="100" w:afterAutospacing="1" w:line="240" w:lineRule="auto"/>
      <w:outlineLvl w:val="0"/>
    </w:pPr>
    <w:rPr>
      <w:rFonts w:eastAsia="Times New Roman" w:cs="Times New Roman"/>
      <w:b/>
      <w:bCs/>
      <w:kern w:val="36"/>
      <w:sz w:val="48"/>
      <w:szCs w:val="48"/>
    </w:rPr>
  </w:style>
  <w:style w:type="paragraph" w:styleId="Heading4">
    <w:name w:val="heading 4"/>
    <w:basedOn w:val="Normal"/>
    <w:link w:val="Heading4Char"/>
    <w:uiPriority w:val="9"/>
    <w:qFormat/>
    <w:rsid w:val="006A1F53"/>
    <w:pPr>
      <w:spacing w:before="100" w:beforeAutospacing="1" w:after="100" w:afterAutospacing="1" w:line="240" w:lineRule="auto"/>
      <w:outlineLvl w:val="3"/>
    </w:pPr>
    <w:rPr>
      <w:rFonts w:eastAsia="Times New Roman" w:cs="Times New Roman"/>
      <w:b/>
      <w:bCs/>
      <w:szCs w:val="24"/>
    </w:rPr>
  </w:style>
  <w:style w:type="paragraph" w:styleId="Heading5">
    <w:name w:val="heading 5"/>
    <w:basedOn w:val="Normal"/>
    <w:next w:val="Normal"/>
    <w:link w:val="Heading5Char"/>
    <w:uiPriority w:val="9"/>
    <w:semiHidden/>
    <w:unhideWhenUsed/>
    <w:qFormat/>
    <w:rsid w:val="002420D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4B1"/>
    <w:pPr>
      <w:spacing w:after="120" w:line="240" w:lineRule="auto"/>
      <w:ind w:left="720"/>
    </w:pPr>
  </w:style>
  <w:style w:type="paragraph" w:styleId="BalloonText">
    <w:name w:val="Balloon Text"/>
    <w:basedOn w:val="Normal"/>
    <w:link w:val="BalloonTextChar"/>
    <w:uiPriority w:val="99"/>
    <w:semiHidden/>
    <w:unhideWhenUsed/>
    <w:rsid w:val="00043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365"/>
    <w:rPr>
      <w:rFonts w:ascii="Tahoma" w:hAnsi="Tahoma" w:cs="Tahoma"/>
      <w:sz w:val="16"/>
      <w:szCs w:val="16"/>
    </w:rPr>
  </w:style>
  <w:style w:type="character" w:customStyle="1" w:styleId="Heading1Char">
    <w:name w:val="Heading 1 Char"/>
    <w:basedOn w:val="DefaultParagraphFont"/>
    <w:link w:val="Heading1"/>
    <w:uiPriority w:val="9"/>
    <w:rsid w:val="006A1F53"/>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6A1F53"/>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A1F53"/>
    <w:rPr>
      <w:color w:val="0000FF"/>
      <w:u w:val="single"/>
    </w:rPr>
  </w:style>
  <w:style w:type="paragraph" w:styleId="NormalWeb">
    <w:name w:val="Normal (Web)"/>
    <w:basedOn w:val="Normal"/>
    <w:uiPriority w:val="99"/>
    <w:semiHidden/>
    <w:unhideWhenUsed/>
    <w:rsid w:val="006A1F53"/>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6A1F53"/>
    <w:rPr>
      <w:i/>
      <w:iCs/>
    </w:rPr>
  </w:style>
  <w:style w:type="character" w:customStyle="1" w:styleId="Heading5Char">
    <w:name w:val="Heading 5 Char"/>
    <w:basedOn w:val="DefaultParagraphFont"/>
    <w:link w:val="Heading5"/>
    <w:uiPriority w:val="9"/>
    <w:semiHidden/>
    <w:rsid w:val="002420DA"/>
    <w:rPr>
      <w:rFonts w:asciiTheme="majorHAnsi" w:eastAsiaTheme="majorEastAsia" w:hAnsiTheme="majorHAnsi" w:cstheme="majorBidi"/>
      <w:color w:val="243F60" w:themeColor="accent1" w:themeShade="7F"/>
      <w:sz w:val="24"/>
    </w:rPr>
  </w:style>
  <w:style w:type="character" w:customStyle="1" w:styleId="sep">
    <w:name w:val="sep"/>
    <w:basedOn w:val="DefaultParagraphFont"/>
    <w:rsid w:val="00937B6C"/>
  </w:style>
  <w:style w:type="character" w:customStyle="1" w:styleId="by-author">
    <w:name w:val="by-author"/>
    <w:basedOn w:val="DefaultParagraphFont"/>
    <w:rsid w:val="00937B6C"/>
  </w:style>
  <w:style w:type="character" w:customStyle="1" w:styleId="author">
    <w:name w:val="author"/>
    <w:basedOn w:val="DefaultParagraphFont"/>
    <w:rsid w:val="00937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3913">
      <w:bodyDiv w:val="1"/>
      <w:marLeft w:val="0"/>
      <w:marRight w:val="0"/>
      <w:marTop w:val="0"/>
      <w:marBottom w:val="0"/>
      <w:divBdr>
        <w:top w:val="none" w:sz="0" w:space="0" w:color="auto"/>
        <w:left w:val="none" w:sz="0" w:space="0" w:color="auto"/>
        <w:bottom w:val="none" w:sz="0" w:space="0" w:color="auto"/>
        <w:right w:val="none" w:sz="0" w:space="0" w:color="auto"/>
      </w:divBdr>
      <w:divsChild>
        <w:div w:id="597180517">
          <w:marLeft w:val="0"/>
          <w:marRight w:val="0"/>
          <w:marTop w:val="0"/>
          <w:marBottom w:val="0"/>
          <w:divBdr>
            <w:top w:val="none" w:sz="0" w:space="0" w:color="auto"/>
            <w:left w:val="none" w:sz="0" w:space="0" w:color="auto"/>
            <w:bottom w:val="none" w:sz="0" w:space="0" w:color="auto"/>
            <w:right w:val="none" w:sz="0" w:space="0" w:color="auto"/>
          </w:divBdr>
          <w:divsChild>
            <w:div w:id="2110075395">
              <w:marLeft w:val="0"/>
              <w:marRight w:val="0"/>
              <w:marTop w:val="0"/>
              <w:marBottom w:val="0"/>
              <w:divBdr>
                <w:top w:val="none" w:sz="0" w:space="0" w:color="auto"/>
                <w:left w:val="none" w:sz="0" w:space="0" w:color="auto"/>
                <w:bottom w:val="none" w:sz="0" w:space="0" w:color="auto"/>
                <w:right w:val="none" w:sz="0" w:space="0" w:color="auto"/>
              </w:divBdr>
              <w:divsChild>
                <w:div w:id="1719889584">
                  <w:marLeft w:val="0"/>
                  <w:marRight w:val="0"/>
                  <w:marTop w:val="0"/>
                  <w:marBottom w:val="0"/>
                  <w:divBdr>
                    <w:top w:val="none" w:sz="0" w:space="0" w:color="auto"/>
                    <w:left w:val="none" w:sz="0" w:space="0" w:color="auto"/>
                    <w:bottom w:val="none" w:sz="0" w:space="0" w:color="auto"/>
                    <w:right w:val="none" w:sz="0" w:space="0" w:color="auto"/>
                  </w:divBdr>
                  <w:divsChild>
                    <w:div w:id="754282700">
                      <w:marLeft w:val="0"/>
                      <w:marRight w:val="0"/>
                      <w:marTop w:val="0"/>
                      <w:marBottom w:val="0"/>
                      <w:divBdr>
                        <w:top w:val="none" w:sz="0" w:space="0" w:color="auto"/>
                        <w:left w:val="none" w:sz="0" w:space="0" w:color="auto"/>
                        <w:bottom w:val="none" w:sz="0" w:space="0" w:color="auto"/>
                        <w:right w:val="none" w:sz="0" w:space="0" w:color="auto"/>
                      </w:divBdr>
                      <w:divsChild>
                        <w:div w:id="886843693">
                          <w:marLeft w:val="0"/>
                          <w:marRight w:val="0"/>
                          <w:marTop w:val="0"/>
                          <w:marBottom w:val="0"/>
                          <w:divBdr>
                            <w:top w:val="none" w:sz="0" w:space="0" w:color="auto"/>
                            <w:left w:val="none" w:sz="0" w:space="0" w:color="auto"/>
                            <w:bottom w:val="none" w:sz="0" w:space="0" w:color="auto"/>
                            <w:right w:val="none" w:sz="0" w:space="0" w:color="auto"/>
                          </w:divBdr>
                          <w:divsChild>
                            <w:div w:id="906842814">
                              <w:marLeft w:val="0"/>
                              <w:marRight w:val="0"/>
                              <w:marTop w:val="0"/>
                              <w:marBottom w:val="0"/>
                              <w:divBdr>
                                <w:top w:val="none" w:sz="0" w:space="0" w:color="auto"/>
                                <w:left w:val="none" w:sz="0" w:space="0" w:color="auto"/>
                                <w:bottom w:val="none" w:sz="0" w:space="0" w:color="auto"/>
                                <w:right w:val="none" w:sz="0" w:space="0" w:color="auto"/>
                              </w:divBdr>
                              <w:divsChild>
                                <w:div w:id="775489795">
                                  <w:marLeft w:val="0"/>
                                  <w:marRight w:val="0"/>
                                  <w:marTop w:val="0"/>
                                  <w:marBottom w:val="0"/>
                                  <w:divBdr>
                                    <w:top w:val="none" w:sz="0" w:space="0" w:color="auto"/>
                                    <w:left w:val="none" w:sz="0" w:space="0" w:color="auto"/>
                                    <w:bottom w:val="none" w:sz="0" w:space="0" w:color="auto"/>
                                    <w:right w:val="none" w:sz="0" w:space="0" w:color="auto"/>
                                  </w:divBdr>
                                </w:div>
                              </w:divsChild>
                            </w:div>
                            <w:div w:id="13992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707728">
      <w:bodyDiv w:val="1"/>
      <w:marLeft w:val="0"/>
      <w:marRight w:val="0"/>
      <w:marTop w:val="0"/>
      <w:marBottom w:val="0"/>
      <w:divBdr>
        <w:top w:val="none" w:sz="0" w:space="0" w:color="auto"/>
        <w:left w:val="none" w:sz="0" w:space="0" w:color="auto"/>
        <w:bottom w:val="none" w:sz="0" w:space="0" w:color="auto"/>
        <w:right w:val="none" w:sz="0" w:space="0" w:color="auto"/>
      </w:divBdr>
      <w:divsChild>
        <w:div w:id="338315301">
          <w:marLeft w:val="0"/>
          <w:marRight w:val="0"/>
          <w:marTop w:val="0"/>
          <w:marBottom w:val="0"/>
          <w:divBdr>
            <w:top w:val="none" w:sz="0" w:space="0" w:color="auto"/>
            <w:left w:val="none" w:sz="0" w:space="0" w:color="auto"/>
            <w:bottom w:val="none" w:sz="0" w:space="0" w:color="auto"/>
            <w:right w:val="none" w:sz="0" w:space="0" w:color="auto"/>
          </w:divBdr>
          <w:divsChild>
            <w:div w:id="1052197303">
              <w:marLeft w:val="0"/>
              <w:marRight w:val="0"/>
              <w:marTop w:val="0"/>
              <w:marBottom w:val="0"/>
              <w:divBdr>
                <w:top w:val="none" w:sz="0" w:space="0" w:color="auto"/>
                <w:left w:val="none" w:sz="0" w:space="0" w:color="auto"/>
                <w:bottom w:val="none" w:sz="0" w:space="0" w:color="auto"/>
                <w:right w:val="none" w:sz="0" w:space="0" w:color="auto"/>
              </w:divBdr>
            </w:div>
          </w:divsChild>
        </w:div>
        <w:div w:id="1198356039">
          <w:marLeft w:val="0"/>
          <w:marRight w:val="0"/>
          <w:marTop w:val="0"/>
          <w:marBottom w:val="0"/>
          <w:divBdr>
            <w:top w:val="none" w:sz="0" w:space="0" w:color="auto"/>
            <w:left w:val="none" w:sz="0" w:space="0" w:color="auto"/>
            <w:bottom w:val="none" w:sz="0" w:space="0" w:color="auto"/>
            <w:right w:val="none" w:sz="0" w:space="0" w:color="auto"/>
          </w:divBdr>
        </w:div>
      </w:divsChild>
    </w:div>
    <w:div w:id="1167093065">
      <w:bodyDiv w:val="1"/>
      <w:marLeft w:val="0"/>
      <w:marRight w:val="0"/>
      <w:marTop w:val="0"/>
      <w:marBottom w:val="0"/>
      <w:divBdr>
        <w:top w:val="none" w:sz="0" w:space="0" w:color="auto"/>
        <w:left w:val="none" w:sz="0" w:space="0" w:color="auto"/>
        <w:bottom w:val="none" w:sz="0" w:space="0" w:color="auto"/>
        <w:right w:val="none" w:sz="0" w:space="0" w:color="auto"/>
      </w:divBdr>
      <w:divsChild>
        <w:div w:id="925959537">
          <w:marLeft w:val="0"/>
          <w:marRight w:val="0"/>
          <w:marTop w:val="0"/>
          <w:marBottom w:val="0"/>
          <w:divBdr>
            <w:top w:val="none" w:sz="0" w:space="0" w:color="auto"/>
            <w:left w:val="none" w:sz="0" w:space="0" w:color="auto"/>
            <w:bottom w:val="none" w:sz="0" w:space="0" w:color="auto"/>
            <w:right w:val="none" w:sz="0" w:space="0" w:color="auto"/>
          </w:divBdr>
          <w:divsChild>
            <w:div w:id="1730497312">
              <w:marLeft w:val="0"/>
              <w:marRight w:val="0"/>
              <w:marTop w:val="0"/>
              <w:marBottom w:val="0"/>
              <w:divBdr>
                <w:top w:val="none" w:sz="0" w:space="0" w:color="auto"/>
                <w:left w:val="none" w:sz="0" w:space="0" w:color="auto"/>
                <w:bottom w:val="none" w:sz="0" w:space="0" w:color="auto"/>
                <w:right w:val="none" w:sz="0" w:space="0" w:color="auto"/>
              </w:divBdr>
              <w:divsChild>
                <w:div w:id="1686587730">
                  <w:marLeft w:val="0"/>
                  <w:marRight w:val="0"/>
                  <w:marTop w:val="0"/>
                  <w:marBottom w:val="0"/>
                  <w:divBdr>
                    <w:top w:val="none" w:sz="0" w:space="0" w:color="auto"/>
                    <w:left w:val="none" w:sz="0" w:space="0" w:color="auto"/>
                    <w:bottom w:val="none" w:sz="0" w:space="0" w:color="auto"/>
                    <w:right w:val="none" w:sz="0" w:space="0" w:color="auto"/>
                  </w:divBdr>
                  <w:divsChild>
                    <w:div w:id="961031087">
                      <w:marLeft w:val="0"/>
                      <w:marRight w:val="0"/>
                      <w:marTop w:val="0"/>
                      <w:marBottom w:val="0"/>
                      <w:divBdr>
                        <w:top w:val="none" w:sz="0" w:space="0" w:color="auto"/>
                        <w:left w:val="none" w:sz="0" w:space="0" w:color="auto"/>
                        <w:bottom w:val="none" w:sz="0" w:space="0" w:color="auto"/>
                        <w:right w:val="none" w:sz="0" w:space="0" w:color="auto"/>
                      </w:divBdr>
                      <w:divsChild>
                        <w:div w:id="1828595846">
                          <w:marLeft w:val="0"/>
                          <w:marRight w:val="0"/>
                          <w:marTop w:val="0"/>
                          <w:marBottom w:val="0"/>
                          <w:divBdr>
                            <w:top w:val="none" w:sz="0" w:space="0" w:color="auto"/>
                            <w:left w:val="none" w:sz="0" w:space="0" w:color="auto"/>
                            <w:bottom w:val="none" w:sz="0" w:space="0" w:color="auto"/>
                            <w:right w:val="none" w:sz="0" w:space="0" w:color="auto"/>
                          </w:divBdr>
                          <w:divsChild>
                            <w:div w:id="1501038498">
                              <w:marLeft w:val="0"/>
                              <w:marRight w:val="0"/>
                              <w:marTop w:val="0"/>
                              <w:marBottom w:val="0"/>
                              <w:divBdr>
                                <w:top w:val="none" w:sz="0" w:space="0" w:color="auto"/>
                                <w:left w:val="none" w:sz="0" w:space="0" w:color="auto"/>
                                <w:bottom w:val="none" w:sz="0" w:space="0" w:color="auto"/>
                                <w:right w:val="none" w:sz="0" w:space="0" w:color="auto"/>
                              </w:divBdr>
                              <w:divsChild>
                                <w:div w:id="1249243">
                                  <w:marLeft w:val="0"/>
                                  <w:marRight w:val="0"/>
                                  <w:marTop w:val="0"/>
                                  <w:marBottom w:val="0"/>
                                  <w:divBdr>
                                    <w:top w:val="none" w:sz="0" w:space="0" w:color="auto"/>
                                    <w:left w:val="none" w:sz="0" w:space="0" w:color="auto"/>
                                    <w:bottom w:val="none" w:sz="0" w:space="0" w:color="auto"/>
                                    <w:right w:val="none" w:sz="0" w:space="0" w:color="auto"/>
                                  </w:divBdr>
                                </w:div>
                              </w:divsChild>
                            </w:div>
                            <w:div w:id="145486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508523">
      <w:bodyDiv w:val="1"/>
      <w:marLeft w:val="0"/>
      <w:marRight w:val="0"/>
      <w:marTop w:val="0"/>
      <w:marBottom w:val="0"/>
      <w:divBdr>
        <w:top w:val="none" w:sz="0" w:space="0" w:color="auto"/>
        <w:left w:val="none" w:sz="0" w:space="0" w:color="auto"/>
        <w:bottom w:val="none" w:sz="0" w:space="0" w:color="auto"/>
        <w:right w:val="none" w:sz="0" w:space="0" w:color="auto"/>
      </w:divBdr>
      <w:divsChild>
        <w:div w:id="871963796">
          <w:marLeft w:val="0"/>
          <w:marRight w:val="0"/>
          <w:marTop w:val="0"/>
          <w:marBottom w:val="0"/>
          <w:divBdr>
            <w:top w:val="none" w:sz="0" w:space="0" w:color="auto"/>
            <w:left w:val="none" w:sz="0" w:space="0" w:color="auto"/>
            <w:bottom w:val="none" w:sz="0" w:space="0" w:color="auto"/>
            <w:right w:val="none" w:sz="0" w:space="0" w:color="auto"/>
          </w:divBdr>
          <w:divsChild>
            <w:div w:id="501971971">
              <w:marLeft w:val="0"/>
              <w:marRight w:val="0"/>
              <w:marTop w:val="0"/>
              <w:marBottom w:val="0"/>
              <w:divBdr>
                <w:top w:val="none" w:sz="0" w:space="0" w:color="auto"/>
                <w:left w:val="none" w:sz="0" w:space="0" w:color="auto"/>
                <w:bottom w:val="none" w:sz="0" w:space="0" w:color="auto"/>
                <w:right w:val="none" w:sz="0" w:space="0" w:color="auto"/>
              </w:divBdr>
              <w:divsChild>
                <w:div w:id="2112358281">
                  <w:marLeft w:val="0"/>
                  <w:marRight w:val="0"/>
                  <w:marTop w:val="0"/>
                  <w:marBottom w:val="0"/>
                  <w:divBdr>
                    <w:top w:val="none" w:sz="0" w:space="0" w:color="auto"/>
                    <w:left w:val="none" w:sz="0" w:space="0" w:color="auto"/>
                    <w:bottom w:val="none" w:sz="0" w:space="0" w:color="auto"/>
                    <w:right w:val="none" w:sz="0" w:space="0" w:color="auto"/>
                  </w:divBdr>
                  <w:divsChild>
                    <w:div w:id="1885287838">
                      <w:marLeft w:val="0"/>
                      <w:marRight w:val="0"/>
                      <w:marTop w:val="0"/>
                      <w:marBottom w:val="0"/>
                      <w:divBdr>
                        <w:top w:val="none" w:sz="0" w:space="0" w:color="auto"/>
                        <w:left w:val="none" w:sz="0" w:space="0" w:color="auto"/>
                        <w:bottom w:val="none" w:sz="0" w:space="0" w:color="auto"/>
                        <w:right w:val="none" w:sz="0" w:space="0" w:color="auto"/>
                      </w:divBdr>
                      <w:divsChild>
                        <w:div w:id="1054506579">
                          <w:marLeft w:val="0"/>
                          <w:marRight w:val="0"/>
                          <w:marTop w:val="0"/>
                          <w:marBottom w:val="0"/>
                          <w:divBdr>
                            <w:top w:val="none" w:sz="0" w:space="0" w:color="auto"/>
                            <w:left w:val="none" w:sz="0" w:space="0" w:color="auto"/>
                            <w:bottom w:val="none" w:sz="0" w:space="0" w:color="auto"/>
                            <w:right w:val="none" w:sz="0" w:space="0" w:color="auto"/>
                          </w:divBdr>
                          <w:divsChild>
                            <w:div w:id="1549533702">
                              <w:marLeft w:val="0"/>
                              <w:marRight w:val="0"/>
                              <w:marTop w:val="0"/>
                              <w:marBottom w:val="0"/>
                              <w:divBdr>
                                <w:top w:val="none" w:sz="0" w:space="0" w:color="auto"/>
                                <w:left w:val="none" w:sz="0" w:space="0" w:color="auto"/>
                                <w:bottom w:val="none" w:sz="0" w:space="0" w:color="auto"/>
                                <w:right w:val="none" w:sz="0" w:space="0" w:color="auto"/>
                              </w:divBdr>
                              <w:divsChild>
                                <w:div w:id="1834880096">
                                  <w:marLeft w:val="0"/>
                                  <w:marRight w:val="0"/>
                                  <w:marTop w:val="0"/>
                                  <w:marBottom w:val="0"/>
                                  <w:divBdr>
                                    <w:top w:val="none" w:sz="0" w:space="0" w:color="auto"/>
                                    <w:left w:val="none" w:sz="0" w:space="0" w:color="auto"/>
                                    <w:bottom w:val="none" w:sz="0" w:space="0" w:color="auto"/>
                                    <w:right w:val="none" w:sz="0" w:space="0" w:color="auto"/>
                                  </w:divBdr>
                                </w:div>
                              </w:divsChild>
                            </w:div>
                            <w:div w:id="40711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537015">
      <w:bodyDiv w:val="1"/>
      <w:marLeft w:val="0"/>
      <w:marRight w:val="0"/>
      <w:marTop w:val="0"/>
      <w:marBottom w:val="0"/>
      <w:divBdr>
        <w:top w:val="none" w:sz="0" w:space="0" w:color="auto"/>
        <w:left w:val="none" w:sz="0" w:space="0" w:color="auto"/>
        <w:bottom w:val="none" w:sz="0" w:space="0" w:color="auto"/>
        <w:right w:val="none" w:sz="0" w:space="0" w:color="auto"/>
      </w:divBdr>
      <w:divsChild>
        <w:div w:id="82261873">
          <w:marLeft w:val="0"/>
          <w:marRight w:val="0"/>
          <w:marTop w:val="0"/>
          <w:marBottom w:val="0"/>
          <w:divBdr>
            <w:top w:val="none" w:sz="0" w:space="0" w:color="auto"/>
            <w:left w:val="none" w:sz="0" w:space="0" w:color="auto"/>
            <w:bottom w:val="none" w:sz="0" w:space="0" w:color="auto"/>
            <w:right w:val="none" w:sz="0" w:space="0" w:color="auto"/>
          </w:divBdr>
          <w:divsChild>
            <w:div w:id="1258249940">
              <w:marLeft w:val="0"/>
              <w:marRight w:val="0"/>
              <w:marTop w:val="0"/>
              <w:marBottom w:val="0"/>
              <w:divBdr>
                <w:top w:val="none" w:sz="0" w:space="0" w:color="auto"/>
                <w:left w:val="none" w:sz="0" w:space="0" w:color="auto"/>
                <w:bottom w:val="none" w:sz="0" w:space="0" w:color="auto"/>
                <w:right w:val="none" w:sz="0" w:space="0" w:color="auto"/>
              </w:divBdr>
            </w:div>
          </w:divsChild>
        </w:div>
        <w:div w:id="1984189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rygyinsurancebrokers.net/" TargetMode="External"/><Relationship Id="rId3" Type="http://schemas.openxmlformats.org/officeDocument/2006/relationships/settings" Target="settings.xml"/><Relationship Id="rId7" Type="http://schemas.openxmlformats.org/officeDocument/2006/relationships/hyperlink" Target="http://www.caloilgas.com/author/Edito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aloilgas.com/insurance-part-3/"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3475</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Fracking and Allocation of Risk</vt:lpstr>
    </vt:vector>
  </TitlesOfParts>
  <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Auerbach</dc:creator>
  <cp:lastModifiedBy>Alex Auerbach</cp:lastModifiedBy>
  <cp:revision>2</cp:revision>
  <dcterms:created xsi:type="dcterms:W3CDTF">2013-05-05T23:05:00Z</dcterms:created>
  <dcterms:modified xsi:type="dcterms:W3CDTF">2013-05-05T23:05:00Z</dcterms:modified>
</cp:coreProperties>
</file>